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Native Planner Plus Version 6.0 Release Notes</w:t>
      </w:r>
    </w:p>
    <w:p>
      <w:pPr>
        <w:spacing w:after="120"/>
      </w:pPr>
      <w:r>
        <w:t xml:space="preserve">We are excited to introduce </w:t>
      </w:r>
      <w:r>
        <w:rPr>
          <w:b/>
          <w:bCs/>
        </w:rPr>
        <w:t xml:space="preserve">Native Planner Plus Version 6.0</w:t>
      </w:r>
      <w:r>
        <w:t xml:space="preserve">. This is a major release that delivers a complete modernization of both the backend engine and the front-end experience. Our goal remains the same: simplify your workflows, increase performance, and raise the overall value of Native Planner for every user.</w:t>
      </w:r>
    </w:p>
    <w:p>
      <w:pPr>
        <w:pStyle w:val="Heading2"/>
      </w:pPr>
      <w:r>
        <w:t xml:space="preserve">Major Highlights of Version 6</w:t>
      </w:r>
    </w:p>
    <w:p>
      <w:pPr>
        <w:pStyle w:val="ListParagraph"/>
        <w:numPr>
          <w:ilvl w:val="0"/>
          <w:numId w:val="2"/>
        </w:numPr>
        <w:spacing w:after="80"/>
      </w:pPr>
      <w:r>
        <w:rPr>
          <w:b/>
          <w:bCs/>
        </w:rPr>
        <w:t xml:space="preserve">Backend engine rebuild</w:t>
      </w:r>
      <w:r>
        <w:t xml:space="preserve"> — The core logic engine has been completely rebuilt. This delivers cleaner processing, stronger consistency across views (Gantt, Grid, Kanban, Matrix, Scheduler), and </w:t>
      </w:r>
      <w:r>
        <w:rPr>
          <w:b/>
          <w:bCs/>
        </w:rPr>
        <w:t xml:space="preserve">approximately 50% faster loading times</w:t>
      </w:r>
      <w:r>
        <w:t xml:space="preserve">.</w:t>
      </w:r>
    </w:p>
    <w:p>
      <w:pPr>
        <w:pStyle w:val="ListParagraph"/>
        <w:numPr>
          <w:ilvl w:val="0"/>
          <w:numId w:val="2"/>
        </w:numPr>
        <w:spacing w:after="80"/>
      </w:pPr>
      <w:r>
        <w:rPr>
          <w:b/>
          <w:bCs/>
        </w:rPr>
        <w:t xml:space="preserve">Completely redesigned front-end</w:t>
      </w:r>
      <w:r>
        <w:t xml:space="preserve"> — The entire user interface has been rebuilt from the ground up. Buttons, pop-ups, headers, legends, and visual hierarchy have been cleaned and modernized for better usability, clearer visibility, and a more polished day-to-day experience.</w:t>
      </w:r>
    </w:p>
    <w:p>
      <w:pPr>
        <w:pStyle w:val="ListParagraph"/>
        <w:numPr>
          <w:ilvl w:val="0"/>
          <w:numId w:val="2"/>
        </w:numPr>
        <w:spacing w:after="200"/>
      </w:pPr>
      <w:r>
        <w:rPr>
          <w:b/>
          <w:bCs/>
        </w:rPr>
        <w:t xml:space="preserve">No requirement for parent records</w:t>
      </w:r>
      <w:r>
        <w:t xml:space="preserve"> — You can now run the Planner without any parent object. Simply leave the Parent SObject field empty (line 37). Parent records can still be created on demand when needed via the new </w:t>
      </w:r>
      <w:r>
        <w:rPr>
          <w:rFonts w:ascii="Courier New" w:cs="Courier New" w:eastAsia="Courier New" w:hAnsi="Courier New"/>
          <w:b/>
          <w:bCs/>
        </w:rPr>
        <w:t xml:space="preserve">PARENTCREATE</w:t>
      </w:r>
      <w:r>
        <w:t xml:space="preserve"> option.</w:t>
      </w:r>
    </w:p>
    <w:p>
      <w:pPr>
        <w:pStyle w:val="Heading2"/>
      </w:pPr>
      <w:r>
        <w:t xml:space="preserve">Important Upgrade Advisory (especially for Trestin – Sandbox)</w:t>
      </w:r>
    </w:p>
    <w:p>
      <w:pPr>
        <w:spacing w:after="120"/>
      </w:pPr>
      <w:r>
        <w:rPr>
          <w:b/>
          <w:bCs/>
        </w:rPr>
        <w:t xml:space="preserve">If you are upgrading from any 5.x version (particularly Trestin in Sandbox):</w:t>
      </w:r>
    </w:p>
    <w:p>
      <w:pPr>
        <w:pStyle w:val="ListParagraph"/>
        <w:numPr>
          <w:ilvl w:val="0"/>
          <w:numId w:val="3"/>
        </w:numPr>
        <w:spacing w:after="60"/>
      </w:pPr>
      <w:r>
        <w:t xml:space="preserve">In general the update path is smooth and requires no data migration.</w:t>
      </w:r>
    </w:p>
    <w:p>
      <w:pPr>
        <w:pStyle w:val="ListParagraph"/>
        <w:numPr>
          <w:ilvl w:val="0"/>
          <w:numId w:val="3"/>
        </w:numPr>
        <w:spacing w:after="60"/>
      </w:pPr>
      <w:r>
        <w:t xml:space="preserve">We have observed </w:t>
      </w:r>
      <w:r>
        <w:rPr>
          <w:b/>
          <w:bCs/>
        </w:rPr>
        <w:t xml:space="preserve">increased sensitivity to field-level validations</w:t>
      </w:r>
      <w:r>
        <w:t xml:space="preserve"> when the top Flow Screen feature is in use. Please review any validation rules on the objects involved before or immediately after the upgrade.</w:t>
      </w:r>
    </w:p>
    <w:p>
      <w:pPr>
        <w:pStyle w:val="ListParagraph"/>
        <w:numPr>
          <w:ilvl w:val="0"/>
          <w:numId w:val="3"/>
        </w:numPr>
        <w:spacing w:after="200"/>
      </w:pPr>
      <w:r>
        <w:t xml:space="preserve">If you have any concerns or would prefer a guided upgrade, please use our Calendly link to schedule a time with us. We are happy to perform or supervise the update together with you.</w:t>
      </w:r>
    </w:p>
    <w:p>
      <w:pPr>
        <w:pStyle w:val="Heading2"/>
      </w:pPr>
      <w:r>
        <w:t xml:space="preserve">Installation</w:t>
      </w:r>
    </w:p>
    <w:p>
      <w:pPr>
        <w:spacing w:after="80"/>
      </w:pPr>
      <w:r>
        <w:t xml:space="preserve">Use the following URLs to install the package into any organization:</w:t>
      </w:r>
    </w:p>
    <w:p>
      <w:pPr>
        <w:pStyle w:val="ListParagraph"/>
        <w:numPr>
          <w:ilvl w:val="0"/>
          <w:numId w:val="4"/>
        </w:numPr>
        <w:spacing w:after="40"/>
      </w:pPr>
      <w:r>
        <w:rPr>
          <w:b/>
          <w:bCs/>
        </w:rPr>
        <w:t xml:space="preserve">Production Organization</w:t>
      </w:r>
    </w:p>
    <w:p>
      <w:pPr>
        <w:pStyle w:val="ListParagraph"/>
        <w:numPr>
          <w:ilvl w:val="0"/>
          <w:numId w:val="4"/>
        </w:numPr>
        <w:spacing w:after="120"/>
      </w:pPr>
      <w:r>
        <w:rPr>
          <w:b/>
          <w:bCs/>
        </w:rPr>
        <w:t xml:space="preserve">Sandbox Organization</w:t>
      </w:r>
    </w:p>
    <w:p>
      <w:pPr>
        <w:spacing w:after="200"/>
      </w:pPr>
      <w:r>
        <w:t xml:space="preserve">If you have any questions or need help with configuration or the upgrade itself, please use our Calendly link to choose a time that works best for you or email us.</w:t>
      </w:r>
    </w:p>
    <w:p>
      <w:pPr>
        <w:pStyle w:val="Heading2"/>
      </w:pPr>
      <w:r>
        <w:t xml:space="preserve">CHANGE LOG – Version 6</w:t>
      </w:r>
    </w:p>
    <w:p>
      <w:pPr>
        <w:pStyle w:val="Heading3"/>
      </w:pPr>
      <w:r>
        <w:t xml:space="preserve">New Features &amp; Improvements</w:t>
      </w:r>
    </w:p>
    <w:p>
      <w:pPr>
        <w:pStyle w:val="ListParagraph"/>
        <w:numPr>
          <w:ilvl w:val="0"/>
          <w:numId w:val="4"/>
        </w:numPr>
        <w:spacing w:after="60"/>
      </w:pPr>
      <w:r>
        <w:rPr>
          <w:b/>
          <w:bCs/>
        </w:rPr>
        <w:t xml:space="preserve">Parent record creation</w:t>
      </w:r>
      <w:r>
        <w:t xml:space="preserve"> – Add </w:t>
      </w:r>
      <w:r>
        <w:rPr>
          <w:rFonts w:ascii="Courier New" w:cs="Courier New" w:eastAsia="Courier New" w:hAnsi="Courier New"/>
          <w:b/>
          <w:bCs/>
        </w:rPr>
        <w:t xml:space="preserve">PARENTCREATE</w:t>
      </w:r>
      <w:r>
        <w:t xml:space="preserve"> to line 34 to enable creation of parent records directly from the Planner.</w:t>
      </w:r>
    </w:p>
    <w:p>
      <w:pPr>
        <w:pStyle w:val="ListParagraph"/>
        <w:numPr>
          <w:ilvl w:val="0"/>
          <w:numId w:val="4"/>
        </w:numPr>
        <w:spacing w:after="60"/>
      </w:pPr>
      <w:r>
        <w:rPr>
          <w:b/>
          <w:bCs/>
        </w:rPr>
        <w:t xml:space="preserve">Record counting on GRID</w:t>
      </w:r>
      <w:r>
        <w:t xml:space="preserve"> – Grid views now display accurate record counts.</w:t>
      </w:r>
    </w:p>
    <w:p>
      <w:pPr>
        <w:pStyle w:val="ListParagraph"/>
        <w:numPr>
          <w:ilvl w:val="0"/>
          <w:numId w:val="4"/>
        </w:numPr>
        <w:spacing w:after="60"/>
      </w:pPr>
      <w:r>
        <w:rPr>
          <w:b/>
          <w:bCs/>
        </w:rPr>
        <w:t xml:space="preserve">Custom labels on title fields</w:t>
      </w:r>
      <w:r>
        <w:t xml:space="preserve"> – Use </w:t>
      </w:r>
      <w:r>
        <w:rPr>
          <w:rFonts w:ascii="Courier New" w:cs="Courier New" w:eastAsia="Courier New" w:hAnsi="Courier New"/>
          <w:b/>
          <w:bCs/>
        </w:rPr>
        <w:t xml:space="preserve">$</w:t>
      </w:r>
      <w:r>
        <w:t xml:space="preserve"> to include a label on title fields.</w:t>
      </w:r>
    </w:p>
    <w:p>
      <w:pPr>
        <w:pStyle w:val="ListParagraph"/>
        <w:numPr>
          <w:ilvl w:val="0"/>
          <w:numId w:val="4"/>
        </w:numPr>
        <w:spacing w:after="60"/>
      </w:pPr>
      <w:r>
        <w:rPr>
          <w:b/>
          <w:bCs/>
        </w:rPr>
        <w:t xml:space="preserve">Language and localization adjustments</w:t>
      </w:r>
      <w:r>
        <w:t xml:space="preserve"> – Improved multi-language support and localization handling.</w:t>
      </w:r>
    </w:p>
    <w:p>
      <w:pPr>
        <w:pStyle w:val="ListParagraph"/>
        <w:numPr>
          <w:ilvl w:val="0"/>
          <w:numId w:val="4"/>
        </w:numPr>
        <w:spacing w:after="60"/>
      </w:pPr>
      <w:r>
        <w:rPr>
          <w:b/>
          <w:bCs/>
        </w:rPr>
        <w:t xml:space="preserve">Week timeline behavior</w:t>
      </w:r>
      <w:r>
        <w:t xml:space="preserve"> – No forced timeline start-of-week when using the </w:t>
      </w:r>
      <w:r>
        <w:rPr>
          <w:rFonts w:ascii="Courier New" w:cs="Courier New" w:eastAsia="Courier New" w:hAnsi="Courier New"/>
          <w:b/>
          <w:bCs/>
        </w:rPr>
        <w:t xml:space="preserve">W</w:t>
      </w:r>
      <w:r>
        <w:t xml:space="preserve"> (week) scale.</w:t>
      </w:r>
    </w:p>
    <w:p>
      <w:pPr>
        <w:pStyle w:val="ListParagraph"/>
        <w:numPr>
          <w:ilvl w:val="0"/>
          <w:numId w:val="4"/>
        </w:numPr>
        <w:spacing w:after="60"/>
      </w:pPr>
      <w:r>
        <w:rPr>
          <w:b/>
          <w:bCs/>
        </w:rPr>
        <w:t xml:space="preserve">Flow Screen top FINISH</w:t>
      </w:r>
      <w:r>
        <w:t xml:space="preserve"> – Eliminated the blink/loading flash when using Flow Screen Top with the FINISH action.</w:t>
      </w:r>
    </w:p>
    <w:p>
      <w:pPr>
        <w:pStyle w:val="ListParagraph"/>
        <w:numPr>
          <w:ilvl w:val="0"/>
          <w:numId w:val="4"/>
        </w:numPr>
        <w:spacing w:after="60"/>
      </w:pPr>
      <w:r>
        <w:rPr>
          <w:b/>
          <w:bCs/>
        </w:rPr>
        <w:t xml:space="preserve">Optional parent object</w:t>
      </w:r>
      <w:r>
        <w:t xml:space="preserve"> – Leave Parent SObject empty (line 37) to run the Planner with no parent records at all.</w:t>
      </w:r>
    </w:p>
    <w:p>
      <w:pPr>
        <w:pStyle w:val="ListParagraph"/>
        <w:numPr>
          <w:ilvl w:val="0"/>
          <w:numId w:val="4"/>
        </w:numPr>
        <w:spacing w:after="60"/>
      </w:pPr>
      <w:r>
        <w:rPr>
          <w:b/>
          <w:bCs/>
        </w:rPr>
        <w:t xml:space="preserve">Disable shadows</w:t>
      </w:r>
      <w:r>
        <w:t xml:space="preserve"> – Add </w:t>
      </w:r>
      <w:r>
        <w:rPr>
          <w:rFonts w:ascii="Courier New" w:cs="Courier New" w:eastAsia="Courier New" w:hAnsi="Courier New"/>
          <w:b/>
          <w:bCs/>
        </w:rPr>
        <w:t xml:space="preserve">NOSHADOWS</w:t>
      </w:r>
      <w:r>
        <w:t xml:space="preserve"> to line 34 to remove record and group-by shadows (uses the new window/popup system).</w:t>
      </w:r>
    </w:p>
    <w:p>
      <w:pPr>
        <w:pStyle w:val="ListParagraph"/>
        <w:numPr>
          <w:ilvl w:val="0"/>
          <w:numId w:val="4"/>
        </w:numPr>
        <w:spacing w:after="60"/>
      </w:pPr>
      <w:r>
        <w:rPr>
          <w:b/>
          <w:bCs/>
        </w:rPr>
        <w:t xml:space="preserve">Advanced popup color control</w:t>
      </w:r>
      <w:r>
        <w:t xml:space="preserve"> – New options </w:t>
      </w:r>
      <w:r>
        <w:rPr>
          <w:rFonts w:ascii="Courier New" w:cs="Courier New" w:eastAsia="Courier New" w:hAnsi="Courier New"/>
          <w:b/>
          <w:bCs/>
        </w:rPr>
        <w:t xml:space="preserve">INVERSECOLORS</w:t>
      </w:r>
      <w:r>
        <w:t xml:space="preserve"> and </w:t>
      </w:r>
      <w:r>
        <w:rPr>
          <w:rFonts w:ascii="Courier New" w:cs="Courier New" w:eastAsia="Courier New" w:hAnsi="Courier New"/>
          <w:b/>
          <w:bCs/>
        </w:rPr>
        <w:t xml:space="preserve">FOREGROUNDCOLOR</w:t>
      </w:r>
      <w:r>
        <w:t xml:space="preserve"> for full customization of popup colors.</w:t>
      </w:r>
    </w:p>
    <w:p>
      <w:pPr>
        <w:pStyle w:val="ListParagraph"/>
        <w:numPr>
          <w:ilvl w:val="0"/>
          <w:numId w:val="4"/>
        </w:numPr>
        <w:spacing w:after="60"/>
      </w:pPr>
      <w:r>
        <w:rPr>
          <w:b/>
          <w:bCs/>
        </w:rPr>
        <w:t xml:space="preserve">Color legend persistence</w:t>
      </w:r>
      <w:r>
        <w:t xml:space="preserve"> – Record legend color matrix remains visible even when Component Show Color Legends is set to </w:t>
      </w:r>
      <w:r>
        <w:rPr>
          <w:rFonts w:ascii="Courier New" w:cs="Courier New" w:eastAsia="Courier New" w:hAnsi="Courier New"/>
          <w:b/>
          <w:bCs/>
        </w:rPr>
        <w:t xml:space="preserve">NO</w:t>
      </w:r>
      <w:r>
        <w:t xml:space="preserve"> (line 4).</w:t>
      </w:r>
    </w:p>
    <w:p>
      <w:pPr>
        <w:pStyle w:val="ListParagraph"/>
        <w:numPr>
          <w:ilvl w:val="0"/>
          <w:numId w:val="4"/>
        </w:numPr>
        <w:spacing w:after="40"/>
      </w:pPr>
      <w:r>
        <w:rPr>
          <w:b/>
          <w:bCs/>
        </w:rPr>
        <w:t xml:space="preserve">Child group-by color styling</w:t>
      </w:r>
      <w:r>
        <w:t xml:space="preserve"> – Full color mapping support for child group-by headers.</w:t>
      </w:r>
    </w:p>
    <w:p>
      <w:pPr>
        <w:spacing w:after="60"/>
        <w:ind w:left="720"/>
      </w:pPr>
      <w:r>
        <w:rPr>
          <w:i/>
          <w:iCs/>
        </w:rPr>
        <w:t xml:space="preserve">Example: </w:t>
      </w:r>
      <w:r>
        <w:rPr>
          <w:rFonts w:ascii="Courier New" w:cs="Courier New" w:eastAsia="Courier New" w:hAnsi="Courier New"/>
          <w:sz w:val="18"/>
          <w:szCs w:val="18"/>
        </w:rPr>
        <w:t xml:space="preserve">Field__c,[-- None --=#f4faff,Planner=blue]</w:t>
      </w:r>
    </w:p>
    <w:p>
      <w:pPr>
        <w:pStyle w:val="ListParagraph"/>
        <w:numPr>
          <w:ilvl w:val="0"/>
          <w:numId w:val="4"/>
        </w:numPr>
        <w:spacing w:after="60"/>
      </w:pPr>
      <w:r>
        <w:rPr>
          <w:b/>
          <w:bCs/>
        </w:rPr>
        <w:t xml:space="preserve">Disable double-click open</w:t>
      </w:r>
      <w:r>
        <w:t xml:space="preserve"> – No double-click to open records when using </w:t>
      </w:r>
      <w:r>
        <w:rPr>
          <w:rFonts w:ascii="Courier New" w:cs="Courier New" w:eastAsia="Courier New" w:hAnsi="Courier New"/>
          <w:b/>
          <w:bCs/>
        </w:rPr>
        <w:t xml:space="preserve">NOPARENTRECORDPAGE</w:t>
      </w:r>
      <w:r>
        <w:t xml:space="preserve"> or </w:t>
      </w:r>
      <w:r>
        <w:rPr>
          <w:rFonts w:ascii="Courier New" w:cs="Courier New" w:eastAsia="Courier New" w:hAnsi="Courier New"/>
          <w:b/>
          <w:bCs/>
        </w:rPr>
        <w:t xml:space="preserve">NORECORDPAGE</w:t>
      </w:r>
      <w:r>
        <w:t xml:space="preserve"> (line 34).</w:t>
      </w:r>
    </w:p>
    <w:p>
      <w:pPr>
        <w:pStyle w:val="ListParagraph"/>
        <w:numPr>
          <w:ilvl w:val="0"/>
          <w:numId w:val="4"/>
        </w:numPr>
        <w:spacing w:after="40"/>
      </w:pPr>
      <w:r>
        <w:rPr>
          <w:b/>
          <w:bCs/>
        </w:rPr>
        <w:t xml:space="preserve">Custom Flow button labels via #</w:t>
      </w:r>
      <w:r>
        <w:t xml:space="preserve"> – Customize the Flow button label using </w:t>
      </w:r>
      <w:r>
        <w:rPr>
          <w:rFonts w:ascii="Courier New" w:cs="Courier New" w:eastAsia="Courier New" w:hAnsi="Courier New"/>
          <w:b/>
          <w:bCs/>
        </w:rPr>
        <w:t xml:space="preserve">#</w:t>
      </w:r>
      <w:r>
        <w:t xml:space="preserve"> on lines 49, 72, and 95.</w:t>
      </w:r>
    </w:p>
    <w:p>
      <w:pPr>
        <w:spacing w:after="60"/>
        <w:ind w:left="720"/>
      </w:pPr>
      <w:r>
        <w:rPr>
          <w:i/>
          <w:iCs/>
        </w:rPr>
        <w:t xml:space="preserve">Example: </w:t>
      </w:r>
      <w:r>
        <w:rPr>
          <w:rFonts w:ascii="Courier New" w:cs="Courier New" w:eastAsia="Courier New" w:hAnsi="Courier New"/>
          <w:sz w:val="18"/>
          <w:szCs w:val="18"/>
        </w:rPr>
        <w:t xml:space="preserve">Field__c#Custom Flow Label</w:t>
      </w:r>
    </w:p>
    <w:p>
      <w:pPr>
        <w:pStyle w:val="ListParagraph"/>
        <w:numPr>
          <w:ilvl w:val="0"/>
          <w:numId w:val="4"/>
        </w:numPr>
        <w:spacing w:after="60"/>
      </w:pPr>
      <w:r>
        <w:rPr>
          <w:b/>
          <w:bCs/>
        </w:rPr>
        <w:t xml:space="preserve">Open access to all configuration lines via TOP Flow</w:t>
      </w:r>
      <w:r>
        <w:t xml:space="preserve"> – Full access to every configuration line is now available through the TOP Flow, including parent and child objects.</w:t>
      </w:r>
    </w:p>
    <w:p>
      <w:pPr>
        <w:pStyle w:val="ListParagraph"/>
        <w:numPr>
          <w:ilvl w:val="0"/>
          <w:numId w:val="4"/>
        </w:numPr>
        <w:spacing w:after="60"/>
      </w:pPr>
      <w:r>
        <w:rPr>
          <w:b/>
          <w:bCs/>
        </w:rPr>
        <w:t xml:space="preserve">Enhanced quick-filter</w:t>
      </w:r>
      <w:r>
        <w:t xml:space="preserve"> – Search text now supports </w:t>
      </w:r>
      <w:r>
        <w:rPr>
          <w:rFonts w:ascii="Courier New" w:cs="Courier New" w:eastAsia="Courier New" w:hAnsi="Courier New"/>
          <w:b/>
          <w:bCs/>
        </w:rPr>
        <w:t xml:space="preserve">CONTAINS</w:t>
      </w:r>
      <w:r>
        <w:t xml:space="preserve">, lookup fields, date comparisons using the DATETIME FORMAT, and GANTT paths.</w:t>
      </w:r>
    </w:p>
    <w:p>
      <w:pPr>
        <w:pStyle w:val="ListParagraph"/>
        <w:numPr>
          <w:ilvl w:val="0"/>
          <w:numId w:val="4"/>
        </w:numPr>
        <w:spacing w:after="40"/>
      </w:pPr>
      <w:r>
        <w:rPr>
          <w:b/>
          <w:bCs/>
        </w:rPr>
        <w:t xml:space="preserve">MATRIX timeline colors</w:t>
      </w:r>
      <w:r>
        <w:t xml:space="preserve"> – Apply the same color/font styling schema used in GRID to MATRIX timelines (line 10).</w:t>
      </w:r>
    </w:p>
    <w:p>
      <w:pPr>
        <w:spacing w:after="200"/>
        <w:ind w:left="720"/>
      </w:pPr>
      <w:r>
        <w:rPr>
          <w:i/>
          <w:iCs/>
        </w:rPr>
        <w:t xml:space="preserve">Example: </w:t>
      </w:r>
      <w:r>
        <w:rPr>
          <w:rFonts w:ascii="Courier New" w:cs="Courier New" w:eastAsia="Courier New" w:hAnsi="Courier New"/>
          <w:sz w:val="18"/>
          <w:szCs w:val="18"/>
        </w:rPr>
        <w:t xml:space="preserve">Field__c:blue:20:white</w:t>
      </w:r>
    </w:p>
    <w:p>
      <w:pPr>
        <w:pStyle w:val="Heading3"/>
      </w:pPr>
      <w:r>
        <w:t xml:space="preserve">Feature Changes (Migration from 5.x)</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600"/>
        <w:gridCol w:w="6480"/>
      </w:tblGrid>
      <w:tr>
        <w:tc>
          <w:tcPr>
            <w:tcW w:type="dxa" w:w="3600"/>
            <w:tcBorders>
              <w:top w:val="single" w:color="2E75B6" w:sz="1"/>
              <w:left w:val="single" w:color="2E75B6" w:sz="1"/>
              <w:bottom w:val="single" w:color="2E75B6" w:sz="1"/>
              <w:right w:val="single" w:color="2E75B6" w:sz="1"/>
            </w:tcBorders>
            <w:shd w:fill="2E75B6" w:val="clear"/>
            <w:tcMar>
              <w:top w:type="dxa" w:w="80"/>
              <w:left w:type="dxa" w:w="120"/>
              <w:bottom w:type="dxa" w:w="80"/>
              <w:right w:type="dxa" w:w="120"/>
            </w:tcMar>
            <w:vAlign w:val="center"/>
          </w:tcPr>
          <w:p>
            <w:r>
              <w:rPr>
                <w:b/>
                <w:bCs/>
                <w:color w:val="FFFFFF"/>
                <w:sz w:val="20"/>
                <w:szCs w:val="20"/>
              </w:rPr>
              <w:t xml:space="preserve">Version 5.x Option</w:t>
            </w:r>
          </w:p>
        </w:tc>
        <w:tc>
          <w:tcPr>
            <w:tcW w:type="dxa" w:w="6480"/>
            <w:tcBorders>
              <w:top w:val="single" w:color="2E75B6" w:sz="1"/>
              <w:left w:val="single" w:color="2E75B6" w:sz="1"/>
              <w:bottom w:val="single" w:color="2E75B6" w:sz="1"/>
              <w:right w:val="single" w:color="2E75B6" w:sz="1"/>
            </w:tcBorders>
            <w:shd w:fill="2E75B6" w:val="clear"/>
            <w:tcMar>
              <w:top w:type="dxa" w:w="80"/>
              <w:left w:type="dxa" w:w="120"/>
              <w:bottom w:type="dxa" w:w="80"/>
              <w:right w:type="dxa" w:w="120"/>
            </w:tcMar>
            <w:vAlign w:val="center"/>
          </w:tcPr>
          <w:p>
            <w:r>
              <w:rPr>
                <w:b/>
                <w:bCs/>
                <w:color w:val="FFFFFF"/>
                <w:sz w:val="20"/>
                <w:szCs w:val="20"/>
              </w:rPr>
              <w:t xml:space="preserve">Version 6 Equivalent / Behavior</w:t>
            </w:r>
          </w:p>
        </w:tc>
      </w:tr>
      <w:tr>
        <w:tc>
          <w:tcPr>
            <w:tcW w:type="dxa" w:w="36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Courier New" w:cs="Courier New" w:eastAsia="Courier New" w:hAnsi="Courier New"/>
                <w:b/>
                <w:bCs/>
                <w:sz w:val="18"/>
                <w:szCs w:val="18"/>
              </w:rPr>
              <w:t xml:space="preserve">HIDETITLE</w:t>
            </w:r>
          </w:p>
        </w:tc>
        <w:tc>
          <w:tcPr>
            <w:tcW w:type="dxa" w:w="648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sz w:val="18"/>
                <w:szCs w:val="18"/>
              </w:rPr>
              <w:t xml:space="preserve">Leave </w:t>
            </w:r>
            <w:r>
              <w:rPr>
                <w:b/>
                <w:bCs/>
                <w:sz w:val="18"/>
                <w:szCs w:val="18"/>
              </w:rPr>
              <w:t xml:space="preserve">Component Title</w:t>
            </w:r>
            <w:r>
              <w:rPr>
                <w:sz w:val="18"/>
                <w:szCs w:val="18"/>
              </w:rPr>
              <w:t xml:space="preserve"> empty to hide both title and icon</w:t>
            </w:r>
          </w:p>
        </w:tc>
      </w:tr>
      <w:tr>
        <w:tc>
          <w:tcPr>
            <w:tcW w:type="dxa" w:w="3600"/>
            <w:tcBorders>
              <w:top w:val="single" w:color="CCCCCC" w:sz="1"/>
              <w:left w:val="single" w:color="CCCCCC" w:sz="1"/>
              <w:bottom w:val="single" w:color="CCCCCC" w:sz="1"/>
              <w:right w:val="single" w:color="CCCCCC" w:sz="1"/>
            </w:tcBorders>
            <w:shd w:fill="F2F2F2" w:val="clear"/>
            <w:tcMar>
              <w:top w:type="dxa" w:w="60"/>
              <w:left w:type="dxa" w:w="120"/>
              <w:bottom w:type="dxa" w:w="60"/>
              <w:right w:type="dxa" w:w="120"/>
            </w:tcMar>
          </w:tcPr>
          <w:p>
            <w:r>
              <w:rPr>
                <w:rFonts w:ascii="Courier New" w:cs="Courier New" w:eastAsia="Courier New" w:hAnsi="Courier New"/>
                <w:b/>
                <w:bCs/>
                <w:sz w:val="18"/>
                <w:szCs w:val="18"/>
              </w:rPr>
              <w:t xml:space="preserve">FULLSCREEN</w:t>
            </w:r>
          </w:p>
        </w:tc>
        <w:tc>
          <w:tcPr>
            <w:tcW w:type="dxa" w:w="6480"/>
            <w:tcBorders>
              <w:top w:val="single" w:color="CCCCCC" w:sz="1"/>
              <w:left w:val="single" w:color="CCCCCC" w:sz="1"/>
              <w:bottom w:val="single" w:color="CCCCCC" w:sz="1"/>
              <w:right w:val="single" w:color="CCCCCC" w:sz="1"/>
            </w:tcBorders>
            <w:shd w:fill="F2F2F2" w:val="clear"/>
            <w:tcMar>
              <w:top w:type="dxa" w:w="60"/>
              <w:left w:type="dxa" w:w="120"/>
              <w:bottom w:type="dxa" w:w="60"/>
              <w:right w:type="dxa" w:w="120"/>
            </w:tcMar>
          </w:tcPr>
          <w:p>
            <w:r>
              <w:rPr>
                <w:sz w:val="18"/>
                <w:szCs w:val="18"/>
              </w:rPr>
              <w:t xml:space="preserve">Always visible – now appears together with the Hide/Show Header button</w:t>
            </w:r>
          </w:p>
        </w:tc>
      </w:tr>
      <w:tr>
        <w:tc>
          <w:tcPr>
            <w:tcW w:type="dxa" w:w="36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Courier New" w:cs="Courier New" w:eastAsia="Courier New" w:hAnsi="Courier New"/>
                <w:b/>
                <w:bCs/>
                <w:sz w:val="18"/>
                <w:szCs w:val="18"/>
              </w:rPr>
              <w:t xml:space="preserve">NOBACKDROPSHADOW</w:t>
            </w:r>
          </w:p>
        </w:tc>
        <w:tc>
          <w:tcPr>
            <w:tcW w:type="dxa" w:w="648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sz w:val="18"/>
                <w:szCs w:val="18"/>
              </w:rPr>
              <w:t xml:space="preserve">Replaced by </w:t>
            </w:r>
            <w:r>
              <w:rPr>
                <w:rFonts w:ascii="Courier New" w:cs="Courier New" w:eastAsia="Courier New" w:hAnsi="Courier New"/>
                <w:b/>
                <w:bCs/>
                <w:sz w:val="18"/>
                <w:szCs w:val="18"/>
              </w:rPr>
              <w:t xml:space="preserve">NOSHADOWS</w:t>
            </w:r>
            <w:r>
              <w:rPr>
                <w:sz w:val="18"/>
                <w:szCs w:val="18"/>
              </w:rPr>
              <w:t xml:space="preserve"> (new window/popup system)</w:t>
            </w:r>
          </w:p>
        </w:tc>
      </w:tr>
      <w:tr>
        <w:tc>
          <w:tcPr>
            <w:tcW w:type="dxa" w:w="3600"/>
            <w:tcBorders>
              <w:top w:val="single" w:color="CCCCCC" w:sz="1"/>
              <w:left w:val="single" w:color="CCCCCC" w:sz="1"/>
              <w:bottom w:val="single" w:color="CCCCCC" w:sz="1"/>
              <w:right w:val="single" w:color="CCCCCC" w:sz="1"/>
            </w:tcBorders>
            <w:shd w:fill="F2F2F2" w:val="clear"/>
            <w:tcMar>
              <w:top w:type="dxa" w:w="60"/>
              <w:left w:type="dxa" w:w="120"/>
              <w:bottom w:type="dxa" w:w="60"/>
              <w:right w:type="dxa" w:w="120"/>
            </w:tcMar>
          </w:tcPr>
          <w:p>
            <w:r>
              <w:rPr>
                <w:rFonts w:ascii="Courier New" w:cs="Courier New" w:eastAsia="Courier New" w:hAnsi="Courier New"/>
                <w:b/>
                <w:bCs/>
                <w:sz w:val="18"/>
                <w:szCs w:val="18"/>
              </w:rPr>
              <w:t xml:space="preserve">NOHYPERLINK</w:t>
            </w:r>
          </w:p>
        </w:tc>
        <w:tc>
          <w:tcPr>
            <w:tcW w:type="dxa" w:w="6480"/>
            <w:tcBorders>
              <w:top w:val="single" w:color="CCCCCC" w:sz="1"/>
              <w:left w:val="single" w:color="CCCCCC" w:sz="1"/>
              <w:bottom w:val="single" w:color="CCCCCC" w:sz="1"/>
              <w:right w:val="single" w:color="CCCCCC" w:sz="1"/>
            </w:tcBorders>
            <w:shd w:fill="F2F2F2" w:val="clear"/>
            <w:tcMar>
              <w:top w:type="dxa" w:w="60"/>
              <w:left w:type="dxa" w:w="120"/>
              <w:bottom w:type="dxa" w:w="60"/>
              <w:right w:type="dxa" w:w="120"/>
            </w:tcMar>
          </w:tcPr>
          <w:p>
            <w:r>
              <w:rPr>
                <w:sz w:val="18"/>
                <w:szCs w:val="18"/>
              </w:rPr>
              <w:t xml:space="preserve">Replaced by </w:t>
            </w:r>
            <w:r>
              <w:rPr>
                <w:rFonts w:ascii="Courier New" w:cs="Courier New" w:eastAsia="Courier New" w:hAnsi="Courier New"/>
                <w:b/>
                <w:bCs/>
                <w:sz w:val="18"/>
                <w:szCs w:val="18"/>
              </w:rPr>
              <w:t xml:space="preserve">NOPARENTRECORDPAGE</w:t>
            </w:r>
            <w:r>
              <w:rPr>
                <w:sz w:val="18"/>
                <w:szCs w:val="18"/>
              </w:rPr>
              <w:t xml:space="preserve"> / </w:t>
            </w:r>
            <w:r>
              <w:rPr>
                <w:rFonts w:ascii="Courier New" w:cs="Courier New" w:eastAsia="Courier New" w:hAnsi="Courier New"/>
                <w:b/>
                <w:bCs/>
                <w:sz w:val="18"/>
                <w:szCs w:val="18"/>
              </w:rPr>
              <w:t xml:space="preserve">NORECORDPAGE</w:t>
            </w:r>
          </w:p>
        </w:tc>
      </w:tr>
    </w:tbl>
    <w:p>
      <w:pPr>
        <w:spacing w:after="200"/>
      </w:pPr>
    </w:p>
    <w:p>
      <w:pPr>
        <w:pStyle w:val="Heading3"/>
      </w:pPr>
      <w:r>
        <w:t xml:space="preserve">Bug Fixes</w:t>
      </w:r>
    </w:p>
    <w:p>
      <w:pPr>
        <w:pStyle w:val="ListParagraph"/>
        <w:numPr>
          <w:ilvl w:val="0"/>
          <w:numId w:val="4"/>
        </w:numPr>
        <w:spacing w:after="60"/>
      </w:pPr>
      <w:r>
        <w:rPr>
          <w:b/>
          <w:bCs/>
        </w:rPr>
        <w:t xml:space="preserve">Export to Excel</w:t>
      </w:r>
      <w:r>
        <w:t xml:space="preserve"> – Corrected wrong record placement.</w:t>
      </w:r>
    </w:p>
    <w:p>
      <w:pPr>
        <w:pStyle w:val="ListParagraph"/>
        <w:numPr>
          <w:ilvl w:val="0"/>
          <w:numId w:val="4"/>
        </w:numPr>
        <w:spacing w:after="200"/>
      </w:pPr>
      <w:r>
        <w:rPr>
          <w:b/>
          <w:bCs/>
        </w:rPr>
        <w:t xml:space="preserve">Timeline week numbering</w:t>
      </w:r>
      <w:r>
        <w:t xml:space="preserve"> – Fixed incorrect ending week number when using </w:t>
      </w:r>
      <w:r>
        <w:rPr>
          <w:rFonts w:ascii="Courier New" w:cs="Courier New" w:eastAsia="Courier New" w:hAnsi="Courier New"/>
          <w:b/>
          <w:bCs/>
        </w:rPr>
        <w:t xml:space="preserve">W</w:t>
      </w:r>
      <w:r>
        <w:t xml:space="preserve"> scale (example range: Sep 1, 2026 – Dec 29, 2026 previously showed Week 53 incorrectly).</w:t>
      </w:r>
    </w:p>
    <w:p>
      <w:pPr>
        <w:spacing w:after="120"/>
      </w:pPr>
      <w:r>
        <w:t xml:space="preserve">You can view additional information on our website or download the package directly from the AppExchange:</w:t>
      </w:r>
    </w:p>
    <w:p>
      <w:pPr>
        <w:spacing w:after="160"/>
      </w:pPr>
      <w:hyperlink w:history="1" r:id="rIdf0dkm8tfjldm7cqjvinll">
        <w:r>
          <w:rPr>
            <w:rStyle w:val="Hyperlink"/>
            <w:color w:val="0563C1"/>
            <w:u w:val="single"/>
          </w:rPr>
          <w:t xml:space="preserve">https://appexchange.salesforce.com/appxListingDetail?listingId=a0N4V00000HAsCOUA1</w:t>
        </w:r>
      </w:hyperlink>
    </w:p>
    <w:p>
      <w:pPr>
        <w:spacing w:after="120"/>
      </w:pPr>
      <w:r>
        <w:t xml:space="preserve">Please let us know of any issues you find; this will help us continue improving the product.</w:t>
      </w:r>
    </w:p>
    <w:p>
      <w:pPr>
        <w:spacing w:after="120"/>
      </w:pPr>
      <w:r>
        <w:t xml:space="preserve">If you have any other questions, need configuration help, or would like assistance with the Version 6 upgrade, please select a time that works well for you using our Calendly link or reach out to us via email.</w:t>
      </w:r>
    </w:p>
    <w:p>
      <w:pPr>
        <w:spacing w:after="200"/>
      </w:pPr>
      <w:r>
        <w:t xml:space="preserve">Send your suggestions or issues to </w:t>
      </w:r>
      <w:r>
        <w:rPr>
          <w:b/>
          <w:bCs/>
        </w:rPr>
        <w:t xml:space="preserve">support@nativeerp.com</w:t>
      </w:r>
    </w:p>
    <w:p>
      <w:pPr>
        <w:spacing w:after="40"/>
      </w:pPr>
      <w:r>
        <w:t xml:space="preserve">Best regards,</w:t>
      </w:r>
    </w:p>
    <w:p>
      <w:r>
        <w:rPr>
          <w:b/>
          <w:bCs/>
        </w:rPr>
        <w:t xml:space="preserve">NativeERP Team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NativeERP  •  support@nativeerp.com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4"/>
      </w:pBdr>
    </w:pPr>
    <w:r>
      <w:rPr>
        <w:i/>
        <w:iCs/>
        <w:color w:val="666666"/>
        <w:sz w:val="18"/>
        <w:szCs w:val="18"/>
      </w:rPr>
      <w:t xml:space="preserve">Native Planner Plus  |  Version 6.0 Release Notes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9"/>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2E75B6"/>
      <w:sz w:val="26"/>
      <w:szCs w:val="26"/>
    </w:rPr>
  </w:style>
  <w:style w:type="paragraph" w:styleId="Heading3">
    <w:name w:val="Heading 3"/>
    <w:basedOn w:val="Normal"/>
    <w:next w:val="Normal"/>
    <w:qFormat/>
    <w:pPr>
      <w:spacing w:after="120" w:before="20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0dkm8tfjldm7cqjvinll" Type="http://schemas.openxmlformats.org/officeDocument/2006/relationships/hyperlink" Target="https://appexchange.salesforce.com/appxListingDetail?listingId=a0N4V00000HAsCOUA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2026-08-01T20:13:01.100Z</dcterms:created>
  <dcterms:modified xsi:type="dcterms:W3CDTF">2026-08-01T20:13:01.101Z</dcterms:modified>
</cp:coreProperties>
</file>

<file path=docProps/custom.xml><?xml version="1.0" encoding="utf-8"?>
<Properties xmlns="http://schemas.openxmlformats.org/officeDocument/2006/custom-properties" xmlns:vt="http://schemas.openxmlformats.org/officeDocument/2006/docPropsVTypes"/>
</file>